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118" w:right="114" w:hanging="0"/>
        <w:jc w:val="center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Пояснительная записка</w:t>
      </w:r>
    </w:p>
    <w:p>
      <w:pPr>
        <w:pStyle w:val="Normal"/>
        <w:widowControl w:val="false"/>
        <w:spacing w:lineRule="auto" w:line="240" w:before="0" w:after="0"/>
        <w:ind w:left="118" w:right="114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545" w:type="dxa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5827"/>
        <w:gridCol w:w="1983"/>
        <w:gridCol w:w="1735"/>
      </w:tblGrid>
      <w:tr>
        <w:trPr/>
        <w:tc>
          <w:tcPr>
            <w:tcW w:w="582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33" w:right="96" w:hanging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КОДЫ</w:t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83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0503160</w:t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 января 2022г.</w:t>
            </w:r>
          </w:p>
        </w:tc>
        <w:tc>
          <w:tcPr>
            <w:tcW w:w="1983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01.01.2022</w:t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распорядитель, распорядитель,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получатель бюджетных средств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главный администратор, администратор доходов бюджета,                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73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08929209</w:t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главный администратор, администратор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источников финансирования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дефицита бюджета: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АСТРАХАНСКОЙ ОБЛАСТИ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по БК 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</w:t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бюджета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(публично правового образования):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Федеральный бюджет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7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12701000001</w:t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Периодичность: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квартальная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годовая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27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08" w:right="101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15" w:right="96" w:hanging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7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20" w:right="83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18" w:right="114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left="118" w:right="1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9" w:right="113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1 «ОРГАНИЗАЦИОННАЯ СТРУКТУРА СУБЪЕКТА БЮДЖЕТНОЙ ОТЧЕТНОСТИ»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016825"/>
      <w:bookmarkStart w:id="1" w:name="003570"/>
      <w:bookmarkStart w:id="2" w:name="101238"/>
      <w:bookmarkStart w:id="3" w:name="101239"/>
      <w:bookmarkStart w:id="4" w:name="101240"/>
      <w:bookmarkStart w:id="5" w:name="101241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  <w:lang w:eastAsia="ar-SA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Астраханской области (далее – Главное управление) является территориальным федеральным органом исполнительной власти,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образовано 18</w:t>
      </w:r>
      <w:r>
        <w:rPr>
          <w:rFonts w:ascii="Times New Roman" w:hAnsi="Times New Roman"/>
          <w:color w:val="000000" w:themeColor="text1"/>
          <w:sz w:val="28"/>
          <w:szCs w:val="28"/>
        </w:rPr>
        <w:t>.11.2004 года согласно приказа МЧС России от 06.08.2004 года №372.</w:t>
      </w:r>
      <w:r>
        <w:rPr>
          <w:rFonts w:ascii="Times New Roman" w:hAnsi="Times New Roman"/>
          <w:sz w:val="28"/>
          <w:szCs w:val="28"/>
          <w:lang w:eastAsia="ar-SA"/>
        </w:rPr>
        <w:t xml:space="preserve"> Сокращенное наименование – Главное управление МЧС России по Астраханской области.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Юридический (почтовый) адрес: Российская Федерация, г. Астрахань, ул. Волжская, д. 11.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Фактический адрес: Российская Федерация, г. Астрахань, ул. Волжская, д. 11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Организационно-правовая форма: территориальный федеральный орган исполнительной власти.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Бюджетные полномочия – получатель бюджетных средств, администратор доходов федерального бюджета.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своей деятельности МЧС России руководствуется: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Конституцией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Бюджетным кодексом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Федеральным законом от 06.12.2011 № 402-ФЗ «О бухгалтерском учете»;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Указом Президента РФ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 (далее – Указ 868);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Приказом МЧС России от 27.03.2020 N 217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Федеральными законами и иными нормативно-правовыми актами Российской Федерации.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Главное управление в своем составе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имеет 28</w:t>
      </w:r>
      <w:r>
        <w:rPr>
          <w:rFonts w:ascii="Times New Roman" w:hAnsi="Times New Roman"/>
          <w:sz w:val="28"/>
          <w:szCs w:val="28"/>
          <w:lang w:eastAsia="ar-SA"/>
        </w:rPr>
        <w:t xml:space="preserve"> структурных подразделений.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Цели деятельности Главного управления - п</w:t>
      </w:r>
      <w:r>
        <w:rPr>
          <w:rFonts w:ascii="Times New Roman" w:hAnsi="Times New Roman"/>
          <w:sz w:val="28"/>
          <w:szCs w:val="28"/>
        </w:rPr>
        <w:t>редупреждение и ликвидация чрезвычайных ситуаций Астраханской области.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>
        <w:rPr>
          <w:rFonts w:ascii="Times New Roman" w:hAnsi="Times New Roman"/>
          <w:sz w:val="28"/>
          <w:szCs w:val="28"/>
        </w:rPr>
        <w:t>Задачи Главного управления: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>
        <w:rPr>
          <w:rFonts w:ascii="Times New Roman" w:hAnsi="Times New Roman"/>
          <w:sz w:val="28"/>
          <w:szCs w:val="28"/>
        </w:rPr>
        <w:t>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Астраханской области в пределах установленных полномочий;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Астраханской области;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 установленном порядке надзорных и контрольных функций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Астраханской области;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в том числе по чрезвычайному гуманитарному реагированию, защите населения и территорий от чрезвычайных ситуаций и пожаров, обеспечению безопасности людей на водных объектах на территории Астраханской области.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финансовой и хозяйственной деятельности Главного управления в Управлении Федерального казначейства по Астраханской области (далее – УФК) открыты следующие лицевые счета: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03251783920 – отражение операций, осуществляемых получателями средств федерального бюджета;</w:t>
      </w:r>
    </w:p>
    <w:p>
      <w:pPr>
        <w:pStyle w:val="Normal"/>
        <w:spacing w:before="0" w:after="0"/>
        <w:ind w:right="-15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04251783920 – отражение операций по администрированию поступлений доходов в федеральный бюджет;</w:t>
      </w:r>
    </w:p>
    <w:p>
      <w:pPr>
        <w:pStyle w:val="Normal"/>
        <w:spacing w:before="0" w:after="0"/>
        <w:ind w:right="-15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05251783920 – учет операций со средствами, поступающими во временное распоряжение.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Ответственный за формирование и предоставление бухгалтерской отчетности – временно исполняющий обязанности начальника управления финансово-экономического управления (главного бухгалтера) Главного управления майор внутренней службы Володин Виктор Александрович.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 w:before="0" w:after="0"/>
        <w:ind w:left="118" w:right="114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2 «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РЕЗУЛЬТАТЫ ДЕЯТЕЛЬНОСТИ СУБЪЕКТА БЮДЖЕТНОЙ ОТЧЕТНОСТИ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" w:name="101245"/>
      <w:bookmarkEnd w:id="6"/>
      <w:r>
        <w:rPr>
          <w:rFonts w:ascii="Times New Roman" w:hAnsi="Times New Roman"/>
          <w:sz w:val="28"/>
          <w:szCs w:val="28"/>
        </w:rPr>
        <w:t>В соответствии с приказом МЧС России от 19 декабря 2020 г. № 976 ДСП «О внесении изменений в приложения №№ 1, 2, 3 и 4 к приказу МЧС России от 25 декабря 2019 г. № 781ДСП»</w:t>
      </w:r>
      <w:r>
        <w:rPr>
          <w:rFonts w:ascii="Times New Roman" w:hAnsi="Times New Roman"/>
          <w:sz w:val="28"/>
          <w:szCs w:val="28"/>
          <w:lang w:eastAsia="ar-SA"/>
        </w:rPr>
        <w:t>, установлена штатная численность территориальных органов МЧС России, в том числе Главного управления МЧС России по Астраханской области: 2090, из них по категориям: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tbl>
      <w:tblPr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50"/>
        <w:gridCol w:w="4162"/>
        <w:gridCol w:w="2370"/>
        <w:gridCol w:w="2369"/>
      </w:tblGrid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штатной численности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по штату, чел.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по списку на 01.01.2022, чел.</w:t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Военнослужащие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Сотрудники ФПС ГПС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596</w:t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ФПС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1061</w:t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МЧС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155</w:t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Федеральные государственные гражданские служащие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31</w:t>
            </w:r>
          </w:p>
        </w:tc>
      </w:tr>
      <w:tr>
        <w:trPr/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right"/>
              <w:rPr>
                <w:rFonts w:ascii="Times New Roman" w:hAnsi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1848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Главное управление справилось с возложенными задачами.</w:t>
      </w:r>
    </w:p>
    <w:p>
      <w:pPr>
        <w:pStyle w:val="Normal"/>
        <w:numPr>
          <w:ilvl w:val="0"/>
          <w:numId w:val="3"/>
        </w:numPr>
        <w:tabs>
          <w:tab w:val="clear" w:pos="700"/>
          <w:tab w:val="left" w:pos="180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eastAsia="Sylfae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Оперативная обстановка во всех районах области показала положительную динамику.</w:t>
      </w:r>
    </w:p>
    <w:p>
      <w:pPr>
        <w:pStyle w:val="Pboth"/>
        <w:spacing w:beforeAutospacing="0" w:before="280" w:after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01.01.2022 были доведены лимиты бюджетных обязательств в сумме </w:t>
      </w:r>
      <w:r>
        <w:rPr>
          <w:spacing w:val="-2"/>
          <w:sz w:val="28"/>
          <w:szCs w:val="28"/>
        </w:rPr>
        <w:t>1 298 086 623,44</w:t>
      </w:r>
      <w:r>
        <w:rPr>
          <w:color w:val="000000" w:themeColor="text1"/>
          <w:sz w:val="28"/>
          <w:szCs w:val="28"/>
        </w:rPr>
        <w:t xml:space="preserve"> руб., бюджетные ассигнования </w:t>
      </w:r>
      <w:r>
        <w:rPr>
          <w:spacing w:val="-2"/>
          <w:sz w:val="28"/>
          <w:szCs w:val="28"/>
        </w:rPr>
        <w:t>205 718,23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 них на выплаты социального характера – 1 090 261 597,76 руб., договорные обязательства – </w:t>
      </w:r>
      <w:r>
        <w:rPr>
          <w:bCs/>
          <w:color w:val="000000"/>
          <w:sz w:val="28"/>
          <w:szCs w:val="28"/>
        </w:rPr>
        <w:t>195 956 760,76</w:t>
      </w:r>
      <w:r>
        <w:rPr>
          <w:color w:val="000000" w:themeColor="text1"/>
          <w:sz w:val="28"/>
          <w:szCs w:val="28"/>
        </w:rPr>
        <w:t xml:space="preserve"> руб. </w:t>
      </w:r>
    </w:p>
    <w:p>
      <w:pPr>
        <w:pStyle w:val="Pboth"/>
        <w:spacing w:beforeAutospacing="0" w:before="280" w:after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Кассовое исполнение бюджетной росписи составляет 69,18 % от доведенных лимитов бюджетных обязательств и бюджетных ассигнований. Уровень контрактации составляет 100 %.</w:t>
      </w:r>
    </w:p>
    <w:p>
      <w:pPr>
        <w:pStyle w:val="Pboth"/>
        <w:spacing w:beforeAutospacing="0" w:before="28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both"/>
        <w:spacing w:beforeAutospacing="0" w:before="280" w:afterAutospacing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по финансовому обеспечению материально-технического снабжения Главного управления на 01.01.2022</w:t>
      </w:r>
    </w:p>
    <w:p>
      <w:pPr>
        <w:pStyle w:val="Pboth"/>
        <w:spacing w:beforeAutospacing="0" w:before="28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0"/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97"/>
        <w:gridCol w:w="2267"/>
        <w:gridCol w:w="2524"/>
      </w:tblGrid>
      <w:tr>
        <w:trPr>
          <w:trHeight w:val="315" w:hRule="atLeast"/>
        </w:trPr>
        <w:tc>
          <w:tcPr>
            <w:tcW w:w="5097" w:type="dxa"/>
            <w:tcBorders/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Наименование департамента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2021</w:t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Контрактация 2021</w:t>
            </w:r>
          </w:p>
        </w:tc>
      </w:tr>
      <w:tr>
        <w:trPr>
          <w:trHeight w:val="230" w:hRule="atLeast"/>
        </w:trPr>
        <w:tc>
          <w:tcPr>
            <w:tcW w:w="9888" w:type="dxa"/>
            <w:gridSpan w:val="3"/>
            <w:tcBorders/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177 0310 1020190049 244</w:t>
            </w:r>
          </w:p>
        </w:tc>
      </w:tr>
      <w:tr>
        <w:trPr>
          <w:trHeight w:val="219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ДТО_корм для собак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94 576,03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94 576,03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ДТО_прод сухпайки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205 675,05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205 675,05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ДТО_прод посуда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ДТО_прод оборудование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ДТО_прод питание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1 999 748,92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1 999 748,92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ДТО_вещ вещевка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1 400 000,00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1 400 000,00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ДТО_тех оборудование 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201 800,00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201 800,00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ДТО_тех запчасти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2 173 000,00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2 173 000,00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ДТО_тех ремонт авто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4 636 500,00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4 636 500,00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 _транс транспортные расходы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32 100,00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32 100,00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 _успор страхование работников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380 400,00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380 400,00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ДТО _метр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201 600,00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201 600,00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УА (БЛА) (беспилотники) комплектующие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206 000,00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206 000,00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УА (БЛА) (беспилотники) страхование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18 600,00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18 600,00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УИС печное топливо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1 732 500,00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1 732 500,00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УИС коммунальные услуги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1 916 280,00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1 916 280,00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УИС  текущий ремонт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376 500,00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376 500,00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УМПО пререйсовый осмотр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8 300,00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8 300,00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ДИТС почтовые услуги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105 020,00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105 020,00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УБВО_полиграфич продукция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ДИП аренда ОКСИОН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156 000,00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156 000,00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ДСФ труд спецоценка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74 300,00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74 300,00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ДНПР оценка ущерба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83 100,00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83 100,00</w:t>
            </w:r>
          </w:p>
        </w:tc>
      </w:tr>
      <w:tr>
        <w:trPr>
          <w:trHeight w:val="319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ГУПО боевая подготовка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176 800,00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176 800,00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итого 244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righ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16 428 800,00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16 428 800,00</w:t>
            </w:r>
          </w:p>
        </w:tc>
      </w:tr>
      <w:tr>
        <w:trPr>
          <w:trHeight w:val="315" w:hRule="atLeast"/>
        </w:trPr>
        <w:tc>
          <w:tcPr>
            <w:tcW w:w="7364" w:type="dxa"/>
            <w:gridSpan w:val="2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177 0310 1020190049 221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ГСМ в рамках ГОЗ (ДТО_гсм)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13 050 000,00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13 050 000,00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13 050 000,00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13 050 000,00</w:t>
            </w:r>
          </w:p>
        </w:tc>
      </w:tr>
      <w:tr>
        <w:trPr>
          <w:trHeight w:val="315" w:hRule="atLeast"/>
        </w:trPr>
        <w:tc>
          <w:tcPr>
            <w:tcW w:w="7364" w:type="dxa"/>
            <w:gridSpan w:val="2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177 0310 1020190049 242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Услуги связи (ДИТС)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4 879 400,00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4 879 400,00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4 879 400,00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4 879 400,00</w:t>
            </w:r>
          </w:p>
        </w:tc>
      </w:tr>
      <w:tr>
        <w:trPr>
          <w:trHeight w:val="315" w:hRule="atLeast"/>
        </w:trPr>
        <w:tc>
          <w:tcPr>
            <w:tcW w:w="7364" w:type="dxa"/>
            <w:gridSpan w:val="2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177 0310 1020190049 247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Свет для ОКСИОН (ДИП)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319 590,29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319 590,29   </w:t>
            </w:r>
          </w:p>
        </w:tc>
      </w:tr>
      <w:tr>
        <w:trPr>
          <w:trHeight w:val="231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Коммунальные услуги (УИС)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11 320 709,71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11 320 709,71   </w:t>
            </w:r>
          </w:p>
        </w:tc>
      </w:tr>
      <w:tr>
        <w:trPr>
          <w:trHeight w:val="167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righ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11 640 300,00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righ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11 640 300,00</w:t>
            </w:r>
          </w:p>
        </w:tc>
      </w:tr>
      <w:tr>
        <w:trPr>
          <w:trHeight w:val="315" w:hRule="atLeast"/>
        </w:trPr>
        <w:tc>
          <w:tcPr>
            <w:tcW w:w="7364" w:type="dxa"/>
            <w:gridSpan w:val="2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177 03101020193971 244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Медицинские услуги (УМПО)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977 860,76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977 860,76   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977 860,76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977 860,76</w:t>
            </w:r>
          </w:p>
        </w:tc>
      </w:tr>
      <w:tr>
        <w:trPr>
          <w:trHeight w:val="315" w:hRule="atLeast"/>
        </w:trPr>
        <w:tc>
          <w:tcPr>
            <w:tcW w:w="7364" w:type="dxa"/>
            <w:gridSpan w:val="2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 1010594009 413 (СМР СПСЧ)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Реконструкция СПСЧ (УИС)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116 138 300,00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116 138 300,00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116 138 300,00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116 138 300,00</w:t>
            </w:r>
          </w:p>
        </w:tc>
      </w:tr>
      <w:tr>
        <w:trPr>
          <w:trHeight w:val="315" w:hRule="atLeast"/>
        </w:trPr>
        <w:tc>
          <w:tcPr>
            <w:tcW w:w="7364" w:type="dxa"/>
            <w:gridSpan w:val="2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177 0310 1010492019 215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Капитальный ремонт техники ГОЗ (ДТО_тех)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11 700 000,00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11 700 000,00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11 700 000,00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11 700 000,00</w:t>
            </w:r>
          </w:p>
        </w:tc>
      </w:tr>
      <w:tr>
        <w:trPr>
          <w:trHeight w:val="315" w:hRule="atLeast"/>
        </w:trPr>
        <w:tc>
          <w:tcPr>
            <w:tcW w:w="9888" w:type="dxa"/>
            <w:gridSpan w:val="3"/>
            <w:tcBorders/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en-US" w:bidi="ar-SA"/>
              </w:rPr>
              <w:t>17703101020192501244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Pboth"/>
              <w:widowControl/>
              <w:spacing w:before="0" w:after="0"/>
              <w:ind w:firstLine="567"/>
              <w:jc w:val="left"/>
              <w:rPr>
                <w:bCs/>
              </w:rPr>
            </w:pPr>
            <w:r>
              <w:rPr>
                <w:rFonts w:eastAsia="Times New Roman" w:cs="Times New Roman"/>
                <w:bCs/>
                <w:kern w:val="0"/>
                <w:lang w:val="ru-RU" w:eastAsia="en-US" w:bidi="ar-SA"/>
              </w:rPr>
              <w:t>Поставка Аэролодки "Север"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9 000 000,00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9 000 000,00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Коммунальные услуги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322 100,00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322 100,00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Итого 244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9 322 100,00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9 322 100,00</w:t>
            </w:r>
          </w:p>
        </w:tc>
      </w:tr>
      <w:tr>
        <w:trPr>
          <w:trHeight w:val="315" w:hRule="atLeast"/>
        </w:trPr>
        <w:tc>
          <w:tcPr>
            <w:tcW w:w="9888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17703101020192501244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Коммунальные услуги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11 820 000,00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11 820 000,00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итого по 244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11 820 000,00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11 820 000,00</w:t>
            </w:r>
          </w:p>
        </w:tc>
      </w:tr>
      <w:tr>
        <w:trPr>
          <w:trHeight w:val="315" w:hRule="atLeast"/>
        </w:trPr>
        <w:tc>
          <w:tcPr>
            <w:tcW w:w="509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195 956 760,76</w:t>
            </w:r>
          </w:p>
        </w:tc>
        <w:tc>
          <w:tcPr>
            <w:tcW w:w="2524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ind w:firstLine="567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195 956 760,76</w:t>
            </w:r>
          </w:p>
        </w:tc>
      </w:tr>
    </w:tbl>
    <w:p>
      <w:pPr>
        <w:pStyle w:val="Pboth"/>
        <w:spacing w:beforeAutospacing="0" w:before="280" w:afterAutospacing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>
      <w:pPr>
        <w:pStyle w:val="Pboth"/>
        <w:spacing w:before="280" w:after="280"/>
        <w:ind w:firstLine="567"/>
        <w:jc w:val="center"/>
        <w:rPr>
          <w:b/>
          <w:b/>
          <w:sz w:val="28"/>
          <w:szCs w:val="28"/>
        </w:rPr>
      </w:pPr>
      <w:bookmarkStart w:id="7" w:name="101252"/>
      <w:bookmarkEnd w:id="7"/>
      <w:r>
        <w:rPr>
          <w:b/>
          <w:sz w:val="28"/>
          <w:szCs w:val="28"/>
        </w:rPr>
        <w:t xml:space="preserve">Сведения об исполнении бюджета </w:t>
      </w:r>
      <w:hyperlink r:id="rId2">
        <w:r>
          <w:rPr>
            <w:b/>
            <w:sz w:val="28"/>
            <w:szCs w:val="28"/>
          </w:rPr>
          <w:t>(ф. 0503164)</w:t>
        </w:r>
      </w:hyperlink>
    </w:p>
    <w:p>
      <w:pPr>
        <w:pStyle w:val="ListParagraph"/>
        <w:numPr>
          <w:ilvl w:val="0"/>
          <w:numId w:val="2"/>
        </w:numPr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доходов бюджета</w:t>
      </w:r>
    </w:p>
    <w:p>
      <w:pPr>
        <w:pStyle w:val="ListParagraph"/>
        <w:ind w:left="1069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both"/>
        <w:spacing w:beforeAutospacing="0" w:before="28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денежных средств, перечисленных в доход федерального бюджета МЧС России – 11 868 168,91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руб., в том числе по видам:</w:t>
      </w:r>
    </w:p>
    <w:p>
      <w:pPr>
        <w:pStyle w:val="Pboth"/>
        <w:spacing w:beforeAutospacing="0" w:before="28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– 11 484 925,14 руб., </w:t>
      </w:r>
    </w:p>
    <w:p>
      <w:pPr>
        <w:pStyle w:val="Pboth"/>
        <w:spacing w:beforeAutospacing="0" w:before="28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лимиты бюджетных средств по направлению расходов на командировочные расходы – 383 243,77 руб.</w:t>
      </w:r>
    </w:p>
    <w:p>
      <w:pPr>
        <w:pStyle w:val="ListParagraph"/>
        <w:numPr>
          <w:ilvl w:val="0"/>
          <w:numId w:val="2"/>
        </w:numPr>
        <w:spacing w:beforeAutospacing="1" w:afterAutospacing="1"/>
        <w:ind w:left="7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бюджета.</w:t>
      </w:r>
    </w:p>
    <w:p>
      <w:pPr>
        <w:pStyle w:val="Pboth"/>
        <w:spacing w:beforeAutospacing="0" w:before="280" w:afterAutospacing="0" w:after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01.01.2022 были доведены лимиты бюджетных обязательств в сумме </w:t>
      </w:r>
      <w:r>
        <w:rPr>
          <w:spacing w:val="-2"/>
          <w:sz w:val="28"/>
          <w:szCs w:val="28"/>
        </w:rPr>
        <w:t>1 298 086 623,44</w:t>
      </w:r>
      <w:r>
        <w:rPr>
          <w:color w:val="000000" w:themeColor="text1"/>
          <w:sz w:val="28"/>
          <w:szCs w:val="28"/>
        </w:rPr>
        <w:t xml:space="preserve"> руб., бюджетные ассигнования </w:t>
      </w:r>
      <w:r>
        <w:rPr>
          <w:spacing w:val="-2"/>
          <w:sz w:val="28"/>
          <w:szCs w:val="28"/>
        </w:rPr>
        <w:t>205 718,23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 них на выплаты социального характера – 1 090 261 597,76 руб., договорные обязательства – </w:t>
      </w:r>
      <w:r>
        <w:rPr>
          <w:bCs/>
          <w:color w:val="000000"/>
          <w:sz w:val="28"/>
          <w:szCs w:val="28"/>
        </w:rPr>
        <w:t>195 956 760,76</w:t>
      </w:r>
      <w:r>
        <w:rPr>
          <w:color w:val="000000" w:themeColor="text1"/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Расходование бюджетных средств осуществляется в соответствии с утвержденной сметой и в пределах доведенных лимитов бюджетных обязательств и бюджетных ассигнований.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 обязательства сверх доведенных лимитов бюджетных обязательств на общую сумму 861 094,31 рублей, в части оказания медицинских услуг личному составу Главного управления и уплаты земельного налога.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Перечисления в доход федерального бюджета предельных объемов финансирования допущено в сумме 80 500 000,00 рублей. Перечисление допущено из-за невыполнения генеральным подрядчиков условий государственного контракта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рамках государственного оборонного заказа для выполнения работ по объекту «Реконструкция пожарной части Федерального государственного казенного учреждения «1 отряд федеральной противопожарной службы по Астраханской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кассе Главного управления на конец отчетного периода остаток денежных средств составил 34 531,89 руб.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лицевому счету 05251783920 – учет операций со средствами, поступающими во временное распоряжение остаток средств на конец отчетного периода составил 194 989,46 руб.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движении нефинансовых активов (ф.0503168)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01.01.2022 года принято к учету имущество, полученное в пользование на общую сумму </w:t>
      </w:r>
      <w:r>
        <w:rPr>
          <w:rFonts w:ascii="Times New Roman" w:hAnsi="Times New Roman"/>
          <w:b/>
          <w:sz w:val="28"/>
          <w:szCs w:val="28"/>
        </w:rPr>
        <w:t>97 704 386,11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 «Недвижимое имущество в пользовании»: 32 571 081,21 рублей -  приняты к учету объекты недвижимости до регистрации на них прав оперативного управления; 1,00 рубль — выбытие объекта недвижимости (окончание действия договора безвозмездного пользования объектом недвижимости).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01.31 «Иное движимое имущество, полученное по договорам безвозмездного пользования»: 65 133 304,90 рублей - принято к учету движимое имущество по договорам безвозмездного пользования от ГКУ «Волгоспас», ФГБУ СЭУ ФПС ИПЛ по Астраханской области, ООО «Траст Поинт»; 61 019 219,56 рублей — выбытие движимого имущества по договорам безвозмездного пользования.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«Материальные ценности на хранении»: 115,00 рублей - поступление, в том числе 02.04 «материальные запасы, не признанные активом» 115,00 рублей до утилизации - запасные части (автомобильные шины, аккумуляторные батареи и др. ранее учтенные на счете 09 «Запасные части к транспортным средствам, выданные взамен изношенных»); 7 494,15 рублей — выбытие, в том числе 02.30 «основные средства, не признаны активом» 7 494,15 рублей — списание непригодного к дальнейшей эксплуатации и не подлежащее ремонту имущество по решению комиссии «по списанию основных средств, пришедших в негодность».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 «Бланки строгой отчетности»: 12 457,00 рублей — поступление по внутриведомственным расчетам, а также принятие к учету излишек, выявленных в ходе проведения выездной проверки финансово-хозяйственной деятельности Управлением Федерального казначейства по Астраханской области; 8 114,00 рублей — списание израсходованных и уничтоженных бланков строгой отчетности.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21.30 «Основные средства в эксплуатации» 738 913,22 рублей — принято к учету, введено в эксплуатацию поступившее имущество стоимостью менее 10 000,00 рублей; 2 109 670,89 - списание непригодного к дальнейшей эксплуатации и не подлежащее ремонту имущество по решению комиссии «по списанию основных средств, пришедших в негодность».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«Материальные ценности, полученные по централизованному снабжению» 78 146 447,13 рублей — поступление, в том числе 22.1 «ОС, полученные по централизованному снабжению» 77 995 727,13 рублей - до момента получения извещения; 22.2 «МЗ, полученные по централизованному снабжению» 150 720,00 рублей до момента получения извещения;  78 146 447,13 рублей — выбытие при получении извещения, в том числе 22.1 «ОС, полученные по централизованному снабжению» 77 995 727,13 рублей, 22.2 «МЗ, полученные по централизованному снабжению» 150 720,00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по дебиторской и кредиторской задолженности (ф.0503169)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Дебиторская задолженность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Общая сумма дебиторской задолженности за отчетный период составляет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5 362 213,46</w:t>
      </w:r>
      <w:r>
        <w:rPr>
          <w:rFonts w:ascii="Times New Roman" w:hAnsi="Times New Roman"/>
          <w:sz w:val="28"/>
          <w:szCs w:val="28"/>
        </w:rPr>
        <w:t xml:space="preserve"> рублей. Структура дебиторской задолженности выглядит следующим образом: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расчетам (020500000) – 1 750 030,29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расчетам (020900000) – 504 431,09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расчетам (030300000) – 3 107 752,08.</w:t>
      </w:r>
    </w:p>
    <w:p>
      <w:pPr>
        <w:pStyle w:val="ListParagraph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сч. </w:t>
      </w:r>
      <w:r>
        <w:rPr>
          <w:b/>
          <w:sz w:val="28"/>
          <w:szCs w:val="28"/>
        </w:rPr>
        <w:t>205.31</w:t>
      </w:r>
      <w:r>
        <w:rPr>
          <w:sz w:val="28"/>
          <w:szCs w:val="28"/>
        </w:rPr>
        <w:t xml:space="preserve"> на 01.01.2022 в сумме </w:t>
      </w:r>
      <w:r>
        <w:rPr>
          <w:b/>
          <w:sz w:val="28"/>
          <w:szCs w:val="28"/>
        </w:rPr>
        <w:t>22 036,71</w:t>
      </w:r>
      <w:r>
        <w:rPr>
          <w:sz w:val="28"/>
          <w:szCs w:val="28"/>
        </w:rPr>
        <w:t xml:space="preserve"> рублей составила начисленная плата за пользование жилым помещением.</w:t>
      </w:r>
    </w:p>
    <w:p>
      <w:pPr>
        <w:pStyle w:val="ListParagraph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сч. </w:t>
      </w:r>
      <w:r>
        <w:rPr>
          <w:b/>
          <w:sz w:val="28"/>
          <w:szCs w:val="28"/>
        </w:rPr>
        <w:t>205.45</w:t>
      </w:r>
      <w:r>
        <w:rPr>
          <w:sz w:val="28"/>
          <w:szCs w:val="28"/>
        </w:rPr>
        <w:t xml:space="preserve"> на 01.01.2022 в сумме </w:t>
      </w:r>
      <w:r>
        <w:rPr>
          <w:b/>
          <w:sz w:val="28"/>
          <w:szCs w:val="28"/>
        </w:rPr>
        <w:t xml:space="preserve">1 727 993,58 </w:t>
      </w:r>
      <w:r>
        <w:rPr>
          <w:sz w:val="28"/>
          <w:szCs w:val="28"/>
        </w:rPr>
        <w:t>рублей составляют административные штрафы за нарушение Федерального закона «О пожарной безопасности», из за соблюдения сроков оплаты, согласно с пунктом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 штрафа в законную силу либо со дня истечения срока отсрочки или срока рассрочки, предусмотренных статьей 31.5 настоящего Кодекса», а так же в соответствии со статьей 30.1 постановления об административных правонарушениях находятся на обжаловании. Кроме того, увеличились соответствующие штрафные санкции в области пожарной безопасности.</w:t>
      </w:r>
    </w:p>
    <w:p>
      <w:pPr>
        <w:pStyle w:val="ListParagraph"/>
        <w:widowControl/>
        <w:shd w:val="clear" w:color="auto" w:fill="FFFFFF"/>
        <w:suppressAutoHyphens w:val="false"/>
        <w:ind w:left="0"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3. по сч. </w:t>
      </w:r>
      <w:r>
        <w:rPr>
          <w:b/>
          <w:sz w:val="28"/>
          <w:szCs w:val="28"/>
        </w:rPr>
        <w:t>209.36</w:t>
      </w:r>
      <w:r>
        <w:rPr>
          <w:sz w:val="28"/>
          <w:szCs w:val="28"/>
        </w:rPr>
        <w:t xml:space="preserve"> на 01.01.2022 в сумме </w:t>
      </w:r>
      <w:r>
        <w:rPr>
          <w:b/>
          <w:sz w:val="28"/>
          <w:szCs w:val="28"/>
        </w:rPr>
        <w:t>504 431,09</w:t>
      </w:r>
      <w:r>
        <w:rPr>
          <w:sz w:val="28"/>
          <w:szCs w:val="28"/>
        </w:rPr>
        <w:t xml:space="preserve"> рублей по КБК 11302991016000130, возникла в результате отнесения дебиторской задолженности, учтенной на счете 206.00 «Расчеты по выданным авансам» </w:t>
      </w:r>
      <w:r>
        <w:rPr>
          <w:color w:val="222222"/>
          <w:sz w:val="28"/>
          <w:szCs w:val="28"/>
          <w:shd w:fill="FFFFFF" w:val="clear"/>
        </w:rPr>
        <w:t xml:space="preserve">по состоянию на 1 января 2021 г. на счет 1 13 02991 01 XX00 130 1 209 36 000 «Расчеты по доходам бюджета от возврата дебиторской задолженности прошлых лет», согласно </w:t>
      </w:r>
      <w:r>
        <w:rPr>
          <w:color w:val="222222"/>
          <w:sz w:val="28"/>
          <w:szCs w:val="28"/>
        </w:rPr>
        <w:t>Письма Минфина России и Федерального казначейства от 17.12.2020 № 02-04-04/110850 / № 07-04-05/02-26291 «О составлении и представлении годовой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2020 год». В декабре 2021 года Акционерным обществом «ПОЧТА РОССИИ» возвращена дебиторская задолженность в сумме 22 108,53 рублей. Так же на счет 209.36 отнесена дебиторская задолженность с уволенным подотчетным лицом в сумме 8 800,00 рублей.</w:t>
      </w:r>
    </w:p>
    <w:p>
      <w:pPr>
        <w:pStyle w:val="ListParagraph"/>
        <w:widowControl/>
        <w:shd w:val="clear" w:color="auto" w:fill="FFFFFF"/>
        <w:suppressAutoHyphens w:val="false"/>
        <w:ind w:left="0"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5.</w:t>
      </w:r>
      <w:r>
        <w:rPr>
          <w:sz w:val="28"/>
          <w:szCs w:val="28"/>
        </w:rPr>
        <w:t xml:space="preserve"> Дебиторская задолженность по сч.30300 на 01.01.2022 в сумме 3 107 752,08 рублей 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303.02 03091020190049129 – 27 363,07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303.02 03101020190049129 – 326 983,32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303.02 03101020190049139 – 432,09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303.06 03091020190049129 – 1 887,11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303.06 03101020190049129 – 11 750,79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303.06 03101020190049139 – 29,80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303.07 03091020190049129 – 48 121,27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303.07 03101020190049129 – 449 877,02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303.07 03101020190049139 – 759,88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303.09 03101020190049129 – 1 136 000,36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303.10 03091020190049129 – 93 855,65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303.10 03101020190049129 – 993 070,14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303.10 03101020190049139 – 17 621,58</w:t>
      </w:r>
    </w:p>
    <w:p>
      <w:pPr>
        <w:pStyle w:val="ListParagraph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Возникла в результате излишне перечисленных денежных средств в ИФНС России по Кировскому району г. Астрахани и Фонд социального страхования г. Астрахань в декабре 2021 года. В первом квартале 2022 года будет произведен зачет излишне перечисленных денежных средств в счет платежей текущего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Просроченная дебиторская задолженность отсутствует.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Кредиторская задолженность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Кредиторская задолженность за отчетный период составила 40 415 953,49 из них: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сч.205.12 по КБК </w:t>
      </w:r>
      <w:r>
        <w:rPr>
          <w:rFonts w:ascii="Times New Roman" w:hAnsi="Times New Roman"/>
          <w:sz w:val="28"/>
          <w:szCs w:val="28"/>
        </w:rPr>
        <w:t>10807072010400110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сумме 4 200,00 </w:t>
      </w:r>
      <w:r>
        <w:rPr>
          <w:rFonts w:ascii="Times New Roman" w:hAnsi="Times New Roman"/>
          <w:sz w:val="28"/>
          <w:szCs w:val="28"/>
        </w:rPr>
        <w:t>ошибочно оплаченная госпошлина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регистрацию изменений в реестре маломерных судов;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сч.205.12 по КБК </w:t>
      </w:r>
      <w:r>
        <w:rPr>
          <w:rFonts w:ascii="Times New Roman" w:hAnsi="Times New Roman"/>
          <w:sz w:val="28"/>
          <w:szCs w:val="28"/>
        </w:rPr>
        <w:t>10807072010700110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сумме 1 800,00 </w:t>
      </w:r>
      <w:r>
        <w:rPr>
          <w:rFonts w:ascii="Times New Roman" w:hAnsi="Times New Roman"/>
          <w:sz w:val="28"/>
          <w:szCs w:val="28"/>
        </w:rPr>
        <w:t>ошибочно оплаченная госпошлина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выдачу дубликата судовых документов;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сч.205.31 по КБК 11301991016000130 в сумме </w:t>
      </w:r>
      <w:r>
        <w:rPr>
          <w:rFonts w:ascii="Times New Roman" w:hAnsi="Times New Roman"/>
          <w:sz w:val="28"/>
          <w:szCs w:val="28"/>
        </w:rPr>
        <w:t>36,32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излишне перечисленная </w:t>
      </w:r>
      <w:r>
        <w:rPr>
          <w:rFonts w:ascii="Times New Roman" w:hAnsi="Times New Roman"/>
          <w:sz w:val="28"/>
          <w:szCs w:val="28"/>
        </w:rPr>
        <w:t>плата за пользование жилым помещением;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 сч.205.45 по КБК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11610128010001140 в сумме 7 314,14, суммы, поступившие по устаревшим КБК после 27.12.2021, подлежат корректировке на правильные КБК 11601201010004140 и 11601111019000140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сч.302.11 по КБК </w:t>
      </w:r>
      <w:r>
        <w:rPr>
          <w:rFonts w:ascii="Times New Roman" w:hAnsi="Times New Roman"/>
          <w:sz w:val="28"/>
          <w:szCs w:val="28"/>
        </w:rPr>
        <w:t xml:space="preserve">03101020190049121 в сумме 8 347,77 в части </w:t>
      </w:r>
      <w:r>
        <w:rPr>
          <w:rFonts w:ascii="Times New Roman" w:hAnsi="Times New Roman"/>
          <w:color w:val="000000"/>
          <w:sz w:val="28"/>
          <w:szCs w:val="28"/>
        </w:rPr>
        <w:t>выплаты заработной платы работнику ФПС. По состоянию на 07.02.2022 кредиторская задолженность погашена;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302.25 по КБК 03101010594009413 в сумме 39 534 960,95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 государственному контракту от 04.07.2019 № 1921177100442000000000000/0044</w:t>
      </w:r>
      <w:r>
        <w:rPr>
          <w:rFonts w:ascii="Times New Roman" w:hAnsi="Times New Roman"/>
          <w:sz w:val="28"/>
          <w:szCs w:val="28"/>
        </w:rPr>
        <w:t xml:space="preserve"> с ООО АСК "Олимпстрой" за выполнение строительно-монтажных работ по объекту "Реконструкция пожарной части федерального государственного казенного учреждения "1 отряд федеральной противопожарной службы по Астраханской области" для размещения создаваемого специализированного пожарно-спасательного подразделения по защите от ЧС и крупных природных пожаров г.Астрахань", в рамках Казначейского обеспечения обязательств от 08.11.2021;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сч.302.26 по КБК </w:t>
      </w:r>
      <w:r>
        <w:rPr>
          <w:rFonts w:ascii="Times New Roman" w:hAnsi="Times New Roman"/>
          <w:sz w:val="28"/>
          <w:szCs w:val="28"/>
        </w:rPr>
        <w:t xml:space="preserve">03101020190049244 в сумме 835 359,23 рублей приняты обязательства сверх доведенных лимитов на медицинское обеспечение.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сч. 303.13 по КБК 03101020190049851 в сумме 25 735,08 рублей приняты обязательства сверх доведенных лимитов на уплату земельного налога.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4 «АНАЛИЗ ПОКАЗАТЕЛЕЙ БУХГАЛТЕРСКОЙ ОТЧЕТНОСТИ»</w:t>
      </w:r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Pboth"/>
        <w:spacing w:beforeAutospacing="0" w:before="280" w:afterAutospacing="0" w:after="0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изменении остатков валюты баланса </w:t>
      </w:r>
      <w:hyperlink r:id="rId3">
        <w:r>
          <w:rPr>
            <w:b/>
            <w:sz w:val="28"/>
            <w:szCs w:val="28"/>
          </w:rPr>
          <w:t>(ф. 0503173)</w:t>
        </w:r>
      </w:hyperlink>
    </w:p>
    <w:p>
      <w:pPr>
        <w:pStyle w:val="Pboth"/>
        <w:spacing w:beforeAutospacing="0" w:before="280" w:afterAutospacing="0" w:after="0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Изменение остатков валюты баланса составляет -6 864 301,09 руб.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Показатели, отраженные в сведениях, подтверждены соответствующими регистрами бюджетного учета, первичными документами.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8" w:name="sub_30"/>
      <w:r>
        <w:rPr>
          <w:rFonts w:ascii="Times New Roman" w:hAnsi="Times New Roman"/>
          <w:sz w:val="28"/>
          <w:szCs w:val="28"/>
        </w:rPr>
        <w:t>Сведения об исправлении ошибок прошлых лет</w:t>
      </w:r>
      <w:bookmarkEnd w:id="8"/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руб.</w:t>
      </w:r>
    </w:p>
    <w:tbl>
      <w:tblPr>
        <w:tblW w:w="9680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3"/>
        <w:gridCol w:w="1185"/>
        <w:gridCol w:w="1833"/>
        <w:gridCol w:w="2882"/>
        <w:gridCol w:w="2197"/>
      </w:tblGrid>
      <w:tr>
        <w:trPr>
          <w:trHeight w:val="630" w:hRule="atLeast"/>
        </w:trPr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счета бюджетного</w:t>
              <w:br/>
              <w:t>учета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расхождения, руб. (по годам)</w:t>
            </w:r>
          </w:p>
        </w:tc>
        <w:tc>
          <w:tcPr>
            <w:tcW w:w="28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причин</w:t>
            </w:r>
          </w:p>
        </w:tc>
        <w:tc>
          <w:tcPr>
            <w:tcW w:w="21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способа исправления ошибки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10100000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-45 438,87</w:t>
            </w:r>
          </w:p>
        </w:tc>
        <w:tc>
          <w:tcPr>
            <w:tcW w:w="28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Ошибки, допущенные в периоде, за который годовая бюджетная отчётность утверждена. Ввод в эксплуатацию ОС (до 10 000 руб.)</w:t>
            </w:r>
          </w:p>
        </w:tc>
        <w:tc>
          <w:tcPr>
            <w:tcW w:w="21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бухгалтерская запись.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10400000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940 629,19</w:t>
            </w:r>
          </w:p>
        </w:tc>
        <w:tc>
          <w:tcPr>
            <w:tcW w:w="28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Ошибки, допущенные в периоде, за который годовая бюджетная отчётность утверждена. Изменение стоимости, амортизации (увеличение)</w:t>
            </w:r>
          </w:p>
        </w:tc>
        <w:tc>
          <w:tcPr>
            <w:tcW w:w="21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бухгалтерская запись</w:t>
            </w:r>
          </w:p>
        </w:tc>
      </w:tr>
      <w:tr>
        <w:trPr>
          <w:trHeight w:val="645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10500000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-6 476 498,62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Ошибки, допущенные в периоде, за который годовая бюджетная отчётность утверждена. Неотражение факта хозяйственной жизни.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бухгалтерская запись.</w:t>
            </w:r>
          </w:p>
        </w:tc>
      </w:tr>
      <w:tr>
        <w:trPr>
          <w:trHeight w:val="645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30300000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-157 590,59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Ошибки, допущенные в периоде, за который годовая бюджетная отчётность утверждена. Уточнение дебиторской задолженности, согласно актов сверок.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бухгалтерская запись</w:t>
            </w:r>
          </w:p>
        </w:tc>
      </w:tr>
      <w:tr>
        <w:trPr>
          <w:trHeight w:val="345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30300000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2 210 325,99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Ошибки, допущенные в периоде, за который годовая бюджетная отчётность утверждена. Уточнение дебиторской задолженности, согласно актов сверок.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бухгалтерская запись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остатках денежных средств на счетах получателя бюджетных средств (</w:t>
      </w:r>
      <w:hyperlink w:anchor="sub_503178">
        <w:r>
          <w:rPr>
            <w:rFonts w:ascii="Times New Roman" w:hAnsi="Times New Roman"/>
            <w:sz w:val="28"/>
            <w:szCs w:val="28"/>
          </w:rPr>
          <w:t>ф. 0503178</w:t>
        </w:r>
      </w:hyperlink>
      <w:r>
        <w:rPr>
          <w:rFonts w:ascii="Times New Roman" w:hAnsi="Times New Roman"/>
          <w:b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03"/>
        <w:gridCol w:w="3555"/>
        <w:gridCol w:w="4294"/>
      </w:tblGrid>
      <w:tr>
        <w:trPr/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лицевого счета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денежных средств на лицевом счете на 01.01.2022, руб.</w:t>
            </w:r>
          </w:p>
        </w:tc>
      </w:tr>
      <w:tr>
        <w:trPr/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05251783920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для учета средств, поступающих во временное распоряжение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194 989,46</w:t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bookmarkStart w:id="9" w:name="101263"/>
      <w:bookmarkStart w:id="10" w:name="101263"/>
      <w:bookmarkEnd w:id="10"/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5 «ПРОЧИЕ ВОПРОСЫ ДЕЯТЕЛЬНОСТИ»</w:t>
      </w:r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11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отчетном периоде исполнительные листы в Главное управление не поступали.</w:t>
      </w:r>
    </w:p>
    <w:p>
      <w:pPr>
        <w:pStyle w:val="Normal"/>
        <w:widowControl w:val="false"/>
        <w:tabs>
          <w:tab w:val="clear" w:pos="700"/>
          <w:tab w:val="left" w:pos="6630" w:leader="none"/>
        </w:tabs>
        <w:spacing w:lineRule="auto" w:line="240" w:before="0" w:after="0"/>
        <w:ind w:right="1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проведена выездная проверка финансово-хозяйственной деятельности Управлением Федерального казначейства по Астраханской области. </w:t>
      </w:r>
    </w:p>
    <w:p>
      <w:pPr>
        <w:pStyle w:val="Normal"/>
        <w:widowControl w:val="false"/>
        <w:tabs>
          <w:tab w:val="clear" w:pos="700"/>
          <w:tab w:val="left" w:pos="6630" w:leader="none"/>
        </w:tabs>
        <w:spacing w:lineRule="auto" w:line="240" w:before="0" w:after="0"/>
        <w:ind w:right="1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в отчетном периоде контрольные мероприятия выполнены все в полном объеме.</w:t>
      </w:r>
    </w:p>
    <w:p>
      <w:pPr>
        <w:pStyle w:val="Normal"/>
        <w:widowControl w:val="false"/>
        <w:tabs>
          <w:tab w:val="clear" w:pos="700"/>
          <w:tab w:val="left" w:pos="6630" w:leader="none"/>
        </w:tabs>
        <w:spacing w:lineRule="auto" w:line="240" w:before="0" w:after="0"/>
        <w:ind w:left="118" w:right="1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форм отчетности не включенных в состав бюджетной отчетности за отчетный период в виду отсутствия числовых значений показателей.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по консолидируемым расчетам </w:t>
      </w:r>
      <w:r>
        <w:rPr>
          <w:b/>
          <w:sz w:val="28"/>
          <w:szCs w:val="28"/>
        </w:rPr>
        <w:t>(ф. 0503125)</w:t>
      </w:r>
      <w:r>
        <w:rPr>
          <w:sz w:val="28"/>
          <w:szCs w:val="28"/>
        </w:rPr>
        <w:t xml:space="preserve"> - 37 форм.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бюджета. </w:t>
      </w:r>
      <w:r>
        <w:rPr>
          <w:b/>
          <w:sz w:val="28"/>
          <w:szCs w:val="28"/>
        </w:rPr>
        <w:t xml:space="preserve">(ф. 0503127) – </w:t>
      </w:r>
      <w:r>
        <w:rPr>
          <w:sz w:val="28"/>
          <w:szCs w:val="28"/>
        </w:rPr>
        <w:t>3 формы.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бюджетных обязательствах </w:t>
      </w:r>
      <w:r>
        <w:rPr>
          <w:b/>
          <w:sz w:val="28"/>
          <w:szCs w:val="28"/>
        </w:rPr>
        <w:t>(ф. 0503128)</w:t>
      </w:r>
      <w:r>
        <w:rPr>
          <w:sz w:val="28"/>
          <w:szCs w:val="28"/>
        </w:rPr>
        <w:t xml:space="preserve"> – 1 форма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бюджетных обязательствах по нацпроектам </w:t>
      </w:r>
      <w:r>
        <w:rPr>
          <w:b/>
          <w:sz w:val="28"/>
          <w:szCs w:val="28"/>
        </w:rPr>
        <w:t>(ф. 0503128-НП)</w:t>
      </w:r>
      <w:r>
        <w:rPr>
          <w:sz w:val="28"/>
          <w:szCs w:val="28"/>
        </w:rPr>
        <w:t xml:space="preserve"> – 2 формы.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финансовых вложениях </w:t>
      </w:r>
      <w:r>
        <w:rPr>
          <w:b/>
          <w:sz w:val="28"/>
          <w:szCs w:val="28"/>
        </w:rPr>
        <w:t>(ф. 0503171)</w:t>
      </w:r>
      <w:r>
        <w:rPr>
          <w:sz w:val="28"/>
          <w:szCs w:val="28"/>
        </w:rPr>
        <w:t>- 1 форма.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государственном и муниципальном долге </w:t>
      </w:r>
      <w:r>
        <w:rPr>
          <w:b/>
          <w:sz w:val="28"/>
          <w:szCs w:val="28"/>
        </w:rPr>
        <w:t>(ф. 0503172)</w:t>
      </w:r>
      <w:r>
        <w:rPr>
          <w:sz w:val="28"/>
          <w:szCs w:val="28"/>
        </w:rPr>
        <w:t xml:space="preserve"> -1 форма.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изменении остатков валюты баланса </w:t>
      </w:r>
      <w:r>
        <w:rPr>
          <w:b/>
          <w:sz w:val="28"/>
          <w:szCs w:val="28"/>
        </w:rPr>
        <w:t xml:space="preserve">(ф. 0503173) – </w:t>
      </w:r>
      <w:r>
        <w:rPr>
          <w:sz w:val="28"/>
          <w:szCs w:val="28"/>
        </w:rPr>
        <w:t>1 форма.</w:t>
      </w:r>
    </w:p>
    <w:p>
      <w:pPr>
        <w:pStyle w:val="ListParagraph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доходах бюджета от перечисления части прибыли </w:t>
      </w:r>
      <w:r>
        <w:rPr>
          <w:b/>
          <w:sz w:val="28"/>
          <w:szCs w:val="28"/>
        </w:rPr>
        <w:t xml:space="preserve">(ф. 0503174) – </w:t>
      </w:r>
      <w:r>
        <w:rPr>
          <w:sz w:val="28"/>
          <w:szCs w:val="28"/>
        </w:rPr>
        <w:t>1 форма</w:t>
      </w:r>
      <w:bookmarkStart w:id="11" w:name="sub_115229"/>
      <w:bookmarkEnd w:id="11"/>
    </w:p>
    <w:p>
      <w:pPr>
        <w:pStyle w:val="Normal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 (</w:t>
      </w:r>
      <w:r>
        <w:rPr>
          <w:rFonts w:ascii="Times New Roman" w:hAnsi="Times New Roman"/>
          <w:b/>
          <w:sz w:val="28"/>
          <w:szCs w:val="28"/>
        </w:rPr>
        <w:t>ф.0503178</w:t>
      </w:r>
      <w:r>
        <w:rPr>
          <w:rFonts w:ascii="Times New Roman" w:hAnsi="Times New Roman"/>
          <w:sz w:val="28"/>
          <w:szCs w:val="28"/>
        </w:rPr>
        <w:t>) – 1 формы;</w:t>
      </w:r>
    </w:p>
    <w:p>
      <w:pPr>
        <w:pStyle w:val="Normal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суммах консолидируемых поступлений, подлежащих зачислению на счет бюджета (</w:t>
      </w:r>
      <w:r>
        <w:rPr>
          <w:rFonts w:ascii="Times New Roman" w:hAnsi="Times New Roman"/>
          <w:b/>
          <w:sz w:val="28"/>
          <w:szCs w:val="28"/>
        </w:rPr>
        <w:t>ф.0503184</w:t>
      </w:r>
      <w:r>
        <w:rPr>
          <w:rFonts w:ascii="Times New Roman" w:hAnsi="Times New Roman"/>
          <w:sz w:val="28"/>
          <w:szCs w:val="28"/>
        </w:rPr>
        <w:t>) – 1 форма.</w:t>
      </w:r>
    </w:p>
    <w:p>
      <w:pPr>
        <w:pStyle w:val="Normal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Расшифровка дебиторской задолженности по выданным авансам </w:t>
      </w:r>
      <w:r>
        <w:rPr>
          <w:rFonts w:ascii="Times New Roman" w:hAnsi="Times New Roman"/>
          <w:b/>
          <w:sz w:val="28"/>
          <w:szCs w:val="28"/>
        </w:rPr>
        <w:t>(ф. 0503191)</w:t>
      </w:r>
      <w:r>
        <w:rPr>
          <w:rFonts w:ascii="Times New Roman" w:hAnsi="Times New Roman"/>
          <w:sz w:val="28"/>
          <w:szCs w:val="28"/>
        </w:rPr>
        <w:t xml:space="preserve"> -1 форма.</w:t>
      </w:r>
    </w:p>
    <w:p>
      <w:pPr>
        <w:pStyle w:val="Normal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Расшифровка дебиторской задолженности по контрактным обязательствам </w:t>
      </w:r>
      <w:r>
        <w:rPr>
          <w:rFonts w:ascii="Times New Roman" w:hAnsi="Times New Roman"/>
          <w:b/>
          <w:sz w:val="28"/>
          <w:szCs w:val="28"/>
        </w:rPr>
        <w:t>(ф. 0503192)</w:t>
      </w:r>
      <w:r>
        <w:rPr>
          <w:rFonts w:ascii="Times New Roman" w:hAnsi="Times New Roman"/>
          <w:sz w:val="28"/>
          <w:szCs w:val="28"/>
        </w:rPr>
        <w:t xml:space="preserve"> -1 форма.</w:t>
      </w:r>
    </w:p>
    <w:p>
      <w:pPr>
        <w:pStyle w:val="Normal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Расшифровка дебиторской задолженности по субсидиям </w:t>
      </w:r>
      <w:r>
        <w:rPr>
          <w:rFonts w:ascii="Times New Roman" w:hAnsi="Times New Roman"/>
          <w:b/>
          <w:sz w:val="28"/>
          <w:szCs w:val="28"/>
        </w:rPr>
        <w:t>(ф. 0503193)</w:t>
      </w:r>
      <w:r>
        <w:rPr>
          <w:rFonts w:ascii="Times New Roman" w:hAnsi="Times New Roman"/>
          <w:sz w:val="28"/>
          <w:szCs w:val="28"/>
        </w:rPr>
        <w:t xml:space="preserve"> -3 формы.</w:t>
      </w:r>
    </w:p>
    <w:p>
      <w:pPr>
        <w:pStyle w:val="Normal"/>
        <w:numPr>
          <w:ilvl w:val="0"/>
          <w:numId w:val="1"/>
        </w:numPr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исполнении судебных решений по денежным обязательствам </w:t>
      </w:r>
      <w:r>
        <w:rPr>
          <w:rFonts w:ascii="Times New Roman" w:hAnsi="Times New Roman"/>
          <w:b/>
          <w:sz w:val="28"/>
          <w:szCs w:val="28"/>
        </w:rPr>
        <w:t>(ф. 0503296)</w:t>
      </w:r>
      <w:r>
        <w:rPr>
          <w:rFonts w:ascii="Times New Roman" w:hAnsi="Times New Roman"/>
          <w:sz w:val="28"/>
          <w:szCs w:val="28"/>
        </w:rPr>
        <w:t xml:space="preserve"> – 1 форма.</w:t>
      </w:r>
    </w:p>
    <w:p>
      <w:pPr>
        <w:pStyle w:val="Normal"/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0"/>
          <w:tab w:val="left" w:pos="851" w:leader="none"/>
          <w:tab w:val="left" w:pos="1134" w:leader="none"/>
        </w:tabs>
        <w:spacing w:lineRule="auto" w:line="240" w:before="0"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2" w:name="sub_115244"/>
      <w:bookmarkStart w:id="13" w:name="sub_115244"/>
      <w:bookmarkEnd w:id="13"/>
    </w:p>
    <w:p>
      <w:pPr>
        <w:pStyle w:val="Normal"/>
        <w:widowControl w:val="false"/>
        <w:spacing w:lineRule="auto" w:line="240" w:before="0" w:after="0"/>
        <w:ind w:left="118" w:right="114"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Описание ошибок междокуменарных контролей, внутриформенных контролей </w:t>
      </w:r>
    </w:p>
    <w:p>
      <w:pPr>
        <w:pStyle w:val="Normal"/>
        <w:widowControl w:val="false"/>
        <w:spacing w:lineRule="auto" w:line="240" w:before="0" w:after="0"/>
        <w:ind w:left="118" w:right="114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ф. 0503169 выходит междокументарный контроль на сумму 2 651 000,99 рублей и -598 265,59 рублей, изменения, указанные в ф.0503173.</w:t>
      </w:r>
    </w:p>
    <w:p>
      <w:pPr>
        <w:pStyle w:val="Normal"/>
        <w:widowControl w:val="false"/>
        <w:spacing w:lineRule="auto" w:line="240" w:before="0" w:after="0"/>
        <w:ind w:left="118" w:right="114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118" w:right="114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14" w:name="_GoBack"/>
      <w:bookmarkStart w:id="15" w:name="_GoBack"/>
      <w:bookmarkEnd w:id="15"/>
    </w:p>
    <w:tbl>
      <w:tblPr>
        <w:tblW w:w="10055" w:type="dxa"/>
        <w:jc w:val="left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4524"/>
        <w:gridCol w:w="3404"/>
        <w:gridCol w:w="2127"/>
      </w:tblGrid>
      <w:tr>
        <w:trPr>
          <w:trHeight w:val="80" w:hRule="atLeast"/>
          <w:cantSplit w:val="true"/>
        </w:trPr>
        <w:tc>
          <w:tcPr>
            <w:tcW w:w="4524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404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7" w:type="dxa"/>
            <w:tcBorders/>
            <w:shd w:color="auto" w:fill="FFFFFF" w:val="clear"/>
            <w:vAlign w:val="bottom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13" w:right="95" w:hanging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524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Врио начальника финансово-экономического управления (главного бухгалтера)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Главного управления МЧС России по Астраханской области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майор внутренней службы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404" w:type="dxa"/>
            <w:vMerge w:val="restart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127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right="95" w:hanging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95" w:hanging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95" w:hanging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95" w:hanging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95" w:hanging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В.А. Володин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95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4524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4" w:type="dxa"/>
            <w:vMerge w:val="continue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7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13" w:right="95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524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(заместитель главного бухгалтера) – начальник отдела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управления МЧС России по Астраханской области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подполковник внутренней службы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08" w:right="9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4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127" w:type="dxa"/>
            <w:tcBorders/>
            <w:shd w:color="auto" w:fill="FFFFFF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Т.А. Ремизова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left="117" w:right="83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18" w:right="114" w:hanging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118" w:right="228" w:hanging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07.02.202</w:t>
      </w:r>
      <w:bookmarkStart w:id="16" w:name="page_total_master0"/>
      <w:bookmarkStart w:id="17" w:name="page_total"/>
      <w:bookmarkEnd w:id="16"/>
      <w:bookmarkEnd w:id="17"/>
      <w:r>
        <w:rPr>
          <w:rFonts w:ascii="Times New Roman" w:hAnsi="Times New Roman"/>
          <w:color w:val="000000"/>
          <w:sz w:val="28"/>
          <w:szCs w:val="28"/>
        </w:rPr>
        <w:t>2</w:t>
      </w:r>
    </w:p>
    <w:sectPr>
      <w:footerReference w:type="default" r:id="rId4"/>
      <w:type w:val="nextPage"/>
      <w:pgSz w:w="11906" w:h="16820"/>
      <w:pgMar w:left="1298" w:right="561" w:gutter="0" w:header="0" w:top="851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00"/>
        <w:tab w:val="center" w:pos="4785" w:leader="none"/>
        <w:tab w:val="right" w:pos="9463" w:leader="none"/>
      </w:tabs>
      <w:spacing w:lineRule="auto" w:line="240" w:before="0" w:after="0"/>
      <w:ind w:left="118" w:right="114" w:hanging="0"/>
      <w:jc w:val="right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  <w:p>
    <w:pPr>
      <w:pStyle w:val="Normal"/>
      <w:widowControl w:val="false"/>
      <w:tabs>
        <w:tab w:val="clear" w:pos="700"/>
        <w:tab w:val="center" w:pos="4785" w:leader="none"/>
        <w:tab w:val="right" w:pos="9463" w:leader="none"/>
      </w:tabs>
      <w:spacing w:lineRule="auto" w:line="240" w:before="0" w:after="0"/>
      <w:ind w:left="118" w:right="474" w:hanging="0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embedSystemFonts/>
  <w:defaultTabStop w:val="70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4e1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ac72f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locked/>
    <w:rsid w:val="00ac72f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Интернет-ссылка"/>
    <w:uiPriority w:val="99"/>
    <w:unhideWhenUsed/>
    <w:rsid w:val="00f44e52"/>
    <w:rPr>
      <w:color w:val="0000FF"/>
      <w:u w:val="single"/>
    </w:rPr>
  </w:style>
  <w:style w:type="character" w:styleId="Style14" w:customStyle="1">
    <w:name w:val="Текст выноски Знак"/>
    <w:uiPriority w:val="99"/>
    <w:qFormat/>
    <w:rsid w:val="00670782"/>
    <w:rPr>
      <w:rFonts w:ascii="Segoe UI" w:hAnsi="Segoe UI" w:cs="Segoe UI"/>
      <w:sz w:val="18"/>
      <w:szCs w:val="18"/>
    </w:rPr>
  </w:style>
  <w:style w:type="character" w:styleId="Style15" w:customStyle="1">
    <w:name w:val="Цветовое выделение"/>
    <w:uiPriority w:val="99"/>
    <w:qFormat/>
    <w:rsid w:val="00b44856"/>
    <w:rPr>
      <w:b/>
      <w:color w:val="26282F"/>
    </w:rPr>
  </w:style>
  <w:style w:type="character" w:styleId="Style16" w:customStyle="1">
    <w:name w:val="Гипертекстовая ссылка"/>
    <w:basedOn w:val="Style15"/>
    <w:uiPriority w:val="99"/>
    <w:qFormat/>
    <w:rsid w:val="00d83ce4"/>
    <w:rPr>
      <w:rFonts w:cs="Times New Roman"/>
      <w:b/>
      <w:color w:val="106BBE"/>
    </w:rPr>
  </w:style>
  <w:style w:type="character" w:styleId="2" w:customStyle="1">
    <w:name w:val="Основной текст (2)"/>
    <w:basedOn w:val="DefaultParagraphFont"/>
    <w:qFormat/>
    <w:rsid w:val="00727e8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b7e30"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/>
      <w:kern w:val="2"/>
      <w:sz w:val="24"/>
      <w:szCs w:val="24"/>
    </w:rPr>
  </w:style>
  <w:style w:type="paragraph" w:styleId="Pboth" w:customStyle="1">
    <w:name w:val="pboth"/>
    <w:basedOn w:val="Normal"/>
    <w:qFormat/>
    <w:rsid w:val="00f44e5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uiPriority w:val="99"/>
    <w:qFormat/>
    <w:rsid w:val="00670782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b44856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Default" w:customStyle="1">
    <w:name w:val="Default"/>
    <w:qFormat/>
    <w:rsid w:val="00727e8c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ConsPlusNormal" w:customStyle="1">
    <w:name w:val="ConsPlusNormal"/>
    <w:qFormat/>
    <w:rsid w:val="00ce39c2"/>
    <w:pPr>
      <w:widowControl w:val="fals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2f733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dact.ru/law/prikaz-minfina-rf-ot-28122010-n-191n/instruktsiia-o-poriadke-sostavleniia-i/prilozhenie/poiasnitelnaia-zapiska-forma-po-okud/prilozhenie_10/svedeniia-ob-ispolnenii-biudzheta-kod/" TargetMode="External"/><Relationship Id="rId3" Type="http://schemas.openxmlformats.org/officeDocument/2006/relationships/hyperlink" Target="https://sudact.ru/law/prikaz-minfina-rf-ot-28122010-n-191n/instruktsiia-o-poriadke-sostavleniia-i/prilozhenie/poiasnitelnaia-zapiska-forma-po-okud/prilozhenie_10/svedeniia-o-gosudarstvennom-munitsipalnom-dolge/razdel-4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2400-5C0F-4ADF-986B-41FC4621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LibreOffice/7.2.7.2$Linux_X86_64 LibreOffice_project/20$Build-2</Application>
  <AppVersion>15.0000</AppVersion>
  <DocSecurity>0</DocSecurity>
  <Pages>11</Pages>
  <Words>2736</Words>
  <Characters>18177</Characters>
  <CharactersWithSpaces>20668</CharactersWithSpaces>
  <Paragraphs>363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2022-02-07T08:52:00Z</dcterms:created>
  <dc:creator>NBCvetkova</dc:creator>
  <dc:description>Generated by Oracle BI Publisher 11.1.1.7.0</dc:description>
  <dc:language>ru-RU</dc:language>
  <cp:lastModifiedBy>Ремизова Т.А.</cp:lastModifiedBy>
  <cp:lastPrinted>2022-02-11T08:05:00Z</cp:lastPrinted>
  <dcterms:modified xsi:type="dcterms:W3CDTF">2022-02-11T08:59:00Z</dcterms:modified>
  <cp:revision>16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