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>
        <w:rPr>
          <w:b/>
          <w:bCs/>
          <w:sz w:val="24"/>
          <w:szCs w:val="24"/>
        </w:rPr>
        <w:t>Перечн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объектов федерального государственного надзора в области гражданской обороны, учитываемых в рамках формирования ежегодного плана контрольных (надзорных) мероприятий, на территории Астраханской области</w:t>
      </w:r>
    </w:p>
    <w:p>
      <w:pPr>
        <w:pStyle w:val="Style32"/>
        <w:rPr/>
      </w:pPr>
      <w:r>
        <w:rPr/>
      </w:r>
    </w:p>
    <w:tbl>
      <w:tblPr>
        <w:tblW w:w="1513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7"/>
        <w:gridCol w:w="13759"/>
      </w:tblGrid>
      <w:tr>
        <w:trPr/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объекта надзора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«Лукойл – Астраханьэнерго»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ГКУ АО «Астраханский областной социально-реабилитационный центр «РУСЬ»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МБУ г. Астрахани «Чистый город»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АО СПО «Астраханский колледж вычислительной техники»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ОАО «Астраханский станкостроительный завод»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«ССЗ имени III Интернационала»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«Каспийский трубопроводный консорциум-Р»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ФГБУ «Северо-Кавказское управление по гидрометеорологии и мониторингу окружающей среды»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МУП г. Астрахани «Астрводоканал»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ФГУП ВГТРК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«Газпром Геотехнологии»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МБУ г. Астрахани «Мосты и каналы»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«Газпром добыча Астрахань»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«ЛУКОЙЛ-Нижневолжскнефть»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«Астраханьгазсервис»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«Трусовский хлебозавод»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Филиал ПАО «ФСК ЕЭС» - Волго-Донское предприятие магистральных электрических сетей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Каспийский филиал ФГБУ «Главное бассейновое управление по рыболовству и сохранению водных биологических ресурсов»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«Морской торговый порт Оля»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eastAsia="" w:cs="Times New Roman" w:eastAsiaTheme="minorHAnsi"/>
                <w:color w:val="000000"/>
                <w:kern w:val="0"/>
                <w:sz w:val="24"/>
                <w:szCs w:val="24"/>
                <w:lang w:val="ru-RU" w:eastAsia="en-US" w:bidi="ar-SA"/>
              </w:rPr>
              <w:t>ООО «Газпром Трансгаз Ставрополь»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Филиал ФГУП «Российская телевизионная и радиовещательная сеть»  «Астраханский областной радиотелевизионный передающий центр»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«Аэропорт Астрахань»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ООО «Газпром переработка»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ГБУК АО «Астраханский государственный объединенный историко-архитектурный музей-заповедник»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«Александро-Мариинская областная клиническая больница»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ООО «Газонефтепродукт сеть АГЗС»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Астраханский тепловозоремонтный завод – Филиал АО «Желдорреммаш»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ФГБОУ ВО «Астраханский государственный университет им. В.Н. Татищева»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ФГБОУ ВО «Астраханский государственный технический университет»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ФГБОУ ВО «Астраханская государственная консерватория»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МУП г. Астрахани «Коммунэнерго»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«Астраханские тепловые сети»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ГБУК АО «Астраханская государственная картинная галерея имени П.М. Догадина»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«Областная детская клиническая больница им. Н.Н. Силищевой»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«Областная инфекционная клиническая больница им. А.М. Ничоги»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«Областная клиническая психиатрическая больница»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«Областной клинический противотуберкулезный диспансер»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«Областной онкологический диспансер»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«Областной кожно-венерологический диспансер»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«Областной наркологический диспансер»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ГБУЗ АО «Городская клиническая больница им. Губиных»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«Областная клиническая больница № 3 им С.М. Кирова»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«Областной центр крови»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«Центр медицины катастроф и скорой медицинской помощи»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АО «Ахтубинская ЦРБ»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ЧУЗ «Медико-санитарная часть»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«Мясокомбинат Астраханский»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Филиал «Астраханский судоремонтный завод» Акционерного общества «Центр судоремонта «Звездочка»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ПКФ «Астрахим»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«Мостоэксплуатационная фирма «Дельта-Мост»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ПАО «Россети Юг»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Астраханский филиал ПАО «Ростелеком»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Волжско-Каспийский филиал ФГБНУ «ВНИРО» (КаспНИРХ)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ФГБУ «Администрация морских портов Каспийского моря»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Астраханский филиал ФГУП «Росморпорт»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ГУ - Астраханское региональное отделение Фонда социального страхования РФ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«Астраханская клиническая больница ФГБУЗ «ЮОМЦ ФМБА»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ФГБОУ ВО «Астраханский государственный медицинский университет»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ФКУ «Управление Федеральных автомобильных дорог «Каспий» Федерального дорожного агентства»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ФБУ Центр реабилитации фонда социального страхования РФ «Тинаки»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Отделение по Астраханской области Южного управления ЦБ РФ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Каспийский филиал ФГБУ «Главное бассейновое управление по рыболовству и сохранению водных биологических ресурсов»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Астраханское управление Филиала ФГУП «Главный радиочастотный центр» в Южном и Северо-Кавказском федеральных округах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Астраханский отряд ведомственной охраны – структурное подразделение Филиала Федерального государственного предприятия «Ведомственная охрана железнодорожного транспорта Российской Федерации» на Приволжской железной дороге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Вагонное ремонтное депо Астрахань — обособленное структурное подразделение Ростовского филиала АО «Вагонная ремонтная компания - 1»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ЧУЗ «Клиническая больница «РЖД-Медицина» города Астрахань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ПАО «Астраханский порт»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ГКУ АО «Областная спасательно-пожарная служба»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«Газпром Газораспределение Астрахань»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ФКУ ИК-6 УФСИН России по АО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«Сервисная фирма «Химпромсервис»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АО «ЛУЧ»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«Астраханская консервная компания»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ФАУ ДПО Астраханский учебный центр ФПС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ОАО Астраханское Судостроительное Производственное  Объединение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ОАО «Антикормаш»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ГАОУ АО ВО «Астраханский государственный архитектурно-строительный университет»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Астраханская региональная физкультурно-спортивная общественная организация по мотоциклетному спорту «Мотоклуб»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МБОУ «Красноярская СОШ № 2»</w:t>
            </w:r>
          </w:p>
        </w:tc>
      </w:tr>
      <w:tr>
        <w:trPr/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7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000000"/>
                <w:kern w:val="2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ОАО «Комбинат хлебопродуктов»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-227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-227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-227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Upper">
    <w:name w:val="upper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Колонтитул"/>
    <w:basedOn w:val="Normal"/>
    <w:qFormat/>
    <w:pPr/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</TotalTime>
  <Application>LibreOffice/7.2.7.2$Linux_X86_64 LibreOffice_project/20$Build-2</Application>
  <AppVersion>15.0000</AppVersion>
  <Pages>4</Pages>
  <Words>603</Words>
  <Characters>4381</Characters>
  <CharactersWithSpaces>4823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2024-01-15T16:12:01Z</dcterms:created>
  <dc:creator/>
  <dc:description/>
  <dc:language>ru-RU</dc:language>
  <cp:lastModifiedBy/>
  <cp:lastPrinted>2024-01-16T16:18:04Z</cp:lastPrinted>
  <dcterms:modified xsi:type="dcterms:W3CDTF">2024-02-02T11:23:14Z</dcterms:modified>
  <cp:revision>32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